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1D7" w:rsidRDefault="005F71D7">
      <w:pPr>
        <w:keepNext/>
        <w:pBdr>
          <w:top w:val="nil"/>
          <w:left w:val="nil"/>
          <w:bottom w:val="nil"/>
          <w:right w:val="nil"/>
          <w:between w:val="nil"/>
        </w:pBdr>
        <w:ind w:left="0"/>
        <w:jc w:val="left"/>
        <w:rPr>
          <w:rFonts w:eastAsia="Arial"/>
          <w:b/>
          <w:color w:val="000000"/>
          <w:sz w:val="32"/>
          <w:szCs w:val="32"/>
        </w:rPr>
      </w:pPr>
    </w:p>
    <w:p w:rsidR="005F71D7" w:rsidRDefault="004B1181">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5F71D7" w:rsidRDefault="004B11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F71D7">
        <w:tc>
          <w:tcPr>
            <w:tcW w:w="3097" w:type="dxa"/>
          </w:tcPr>
          <w:p w:rsidR="005F71D7" w:rsidRDefault="004B1181">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5F71D7" w:rsidRDefault="004B1181">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5F71D7">
        <w:tc>
          <w:tcPr>
            <w:tcW w:w="3097" w:type="dxa"/>
          </w:tcPr>
          <w:p w:rsidR="005F71D7" w:rsidRDefault="004B1181">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5F71D7" w:rsidRDefault="004B1181">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5F71D7">
        <w:tc>
          <w:tcPr>
            <w:tcW w:w="3097" w:type="dxa"/>
          </w:tcPr>
          <w:p w:rsidR="005F71D7" w:rsidRDefault="004B1181">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5F71D7" w:rsidRDefault="004B1181">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5F71D7">
        <w:tc>
          <w:tcPr>
            <w:tcW w:w="3097" w:type="dxa"/>
          </w:tcPr>
          <w:p w:rsidR="005F71D7" w:rsidRDefault="004B1181">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5F71D7" w:rsidRDefault="004B1181">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5F71D7">
        <w:tc>
          <w:tcPr>
            <w:tcW w:w="3097" w:type="dxa"/>
          </w:tcPr>
          <w:p w:rsidR="005F71D7" w:rsidRDefault="004B1181">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5F71D7" w:rsidRDefault="004B1181">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5F71D7">
        <w:tc>
          <w:tcPr>
            <w:tcW w:w="3097" w:type="dxa"/>
          </w:tcPr>
          <w:p w:rsidR="005F71D7" w:rsidRDefault="004B1181">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5F71D7" w:rsidRDefault="004B1181">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5F71D7">
        <w:trPr>
          <w:trHeight w:val="567"/>
        </w:trPr>
        <w:tc>
          <w:tcPr>
            <w:tcW w:w="3097" w:type="dxa"/>
          </w:tcPr>
          <w:p w:rsidR="005F71D7" w:rsidRDefault="004B1181">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5F71D7" w:rsidRDefault="004B1181">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5F71D7">
        <w:trPr>
          <w:trHeight w:val="567"/>
        </w:trPr>
        <w:tc>
          <w:tcPr>
            <w:tcW w:w="3097" w:type="dxa"/>
          </w:tcPr>
          <w:p w:rsidR="005F71D7" w:rsidRDefault="004B1181">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5F71D7" w:rsidRDefault="004B1181">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5F71D7">
        <w:tc>
          <w:tcPr>
            <w:tcW w:w="3097" w:type="dxa"/>
          </w:tcPr>
          <w:p w:rsidR="005F71D7" w:rsidRDefault="004B1181">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5F71D7" w:rsidRDefault="004B1181">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rsidR="005F71D7" w:rsidRDefault="004B11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Schedule.</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At least ninety (90) Working Days prior to the Start Date the Supplier shall prepar</w:t>
      </w:r>
      <w:r>
        <w:rPr>
          <w:rFonts w:eastAsia="Arial"/>
          <w:color w:val="000000"/>
          <w:sz w:val="24"/>
          <w:szCs w:val="24"/>
        </w:rPr>
        <w:t xml:space="preserve">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w:t>
      </w:r>
      <w:r>
        <w:rPr>
          <w:rFonts w:eastAsia="Arial"/>
          <w:color w:val="000000"/>
          <w:sz w:val="24"/>
          <w:szCs w:val="24"/>
        </w:rPr>
        <w:t>o three sections: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Section 1 which shall set out general principles applicable to the BCDR Plan; </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2et92p0" w:colFirst="0" w:colLast="0"/>
      <w:bookmarkEnd w:id="4"/>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tyjcwt" w:colFirst="0" w:colLast="0"/>
      <w:bookmarkEnd w:id="5"/>
      <w:r>
        <w:rPr>
          <w:rFonts w:eastAsia="Arial"/>
          <w:color w:val="000000"/>
          <w:sz w:val="24"/>
          <w:szCs w:val="24"/>
        </w:rPr>
        <w:t xml:space="preserve">Section 3 which shall relate to disaster recovery (the </w:t>
      </w:r>
      <w:r>
        <w:rPr>
          <w:rFonts w:eastAsia="Arial"/>
          <w:b/>
          <w:color w:val="000000"/>
          <w:sz w:val="24"/>
          <w:szCs w:val="24"/>
        </w:rPr>
        <w:t>"Disaster Reco</w:t>
      </w:r>
      <w:r>
        <w:rPr>
          <w:rFonts w:eastAsia="Arial"/>
          <w:b/>
          <w:color w:val="000000"/>
          <w:sz w:val="24"/>
          <w:szCs w:val="24"/>
        </w:rPr>
        <w:t>very Plan"</w:t>
      </w:r>
      <w:r>
        <w:rPr>
          <w:rFonts w:eastAsia="Arial"/>
          <w:color w:val="000000"/>
          <w:sz w:val="24"/>
          <w:szCs w:val="24"/>
        </w:rPr>
        <w:t>).</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bookmarkStart w:id="6" w:name="_heading=h.3dy6vkm" w:colFirst="0" w:colLast="0"/>
      <w:bookmarkEnd w:id="6"/>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w:t>
      </w:r>
      <w:r>
        <w:rPr>
          <w:rFonts w:eastAsia="Arial"/>
          <w:color w:val="000000"/>
          <w:sz w:val="24"/>
          <w:szCs w:val="24"/>
        </w:rPr>
        <w:t xml:space="preserve"> its submission, then such Dispute shall be resolved in accordance with the Dispute Resolution Procedure.</w:t>
      </w:r>
    </w:p>
    <w:p w:rsidR="005F71D7" w:rsidRDefault="004B11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General Principles of the BCDR Plan (Section 1)</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5F71D7" w:rsidRDefault="004B1181">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5F71D7" w:rsidRDefault="004B11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5F71D7" w:rsidRDefault="004B11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rsidR="005F71D7" w:rsidRDefault="004B11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rsidR="005F71D7" w:rsidRDefault="004B11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5F71D7" w:rsidRDefault="004B11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bookmarkStart w:id="8" w:name="_heading=h.4d34og8" w:colFirst="0" w:colLast="0"/>
      <w:bookmarkEnd w:id="8"/>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 xml:space="preserve">Deliverables remain supported and to ensure continuity of the </w:t>
      </w:r>
      <w:r>
        <w:rPr>
          <w:rFonts w:eastAsia="Arial"/>
          <w:color w:val="000000"/>
          <w:sz w:val="24"/>
          <w:szCs w:val="24"/>
        </w:rPr>
        <w:t>business operations supported by the Services including:</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2s8eyo1" w:colFirst="0" w:colLast="0"/>
      <w:bookmarkEnd w:id="9"/>
      <w:r>
        <w:rPr>
          <w:rFonts w:eastAsia="Arial"/>
          <w:color w:val="000000"/>
          <w:sz w:val="24"/>
          <w:szCs w:val="24"/>
        </w:rPr>
        <w:t>set out the goods and/or services to be provided and the steps to be taken to remedy the different levels of failures of and disruption to the Deliverables;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5F71D7" w:rsidRDefault="004B11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bookmarkStart w:id="10" w:name="_heading=h.17dp8vu" w:colFirst="0" w:colLast="0"/>
      <w:bookmarkEnd w:id="10"/>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5F71D7" w:rsidRDefault="004B11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3rdcrjn" w:colFirst="0" w:colLast="0"/>
      <w:bookmarkEnd w:id="11"/>
      <w:r>
        <w:rPr>
          <w:rFonts w:eastAsia="Arial"/>
          <w:color w:val="000000"/>
          <w:sz w:val="24"/>
          <w:szCs w:val="24"/>
        </w:rPr>
        <w:t>The Supplier s</w:t>
      </w:r>
      <w:r>
        <w:rPr>
          <w:rFonts w:eastAsia="Arial"/>
          <w:color w:val="000000"/>
          <w:sz w:val="24"/>
          <w:szCs w:val="24"/>
        </w:rPr>
        <w:t>hall review the BCDR Plan:</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6in1rg" w:colFirst="0" w:colLast="0"/>
      <w:bookmarkEnd w:id="12"/>
      <w:r>
        <w:rPr>
          <w:rFonts w:eastAsia="Arial"/>
          <w:color w:val="000000"/>
          <w:sz w:val="24"/>
          <w:szCs w:val="24"/>
        </w:rPr>
        <w:t>on a regular basis and as a minimum once every six (6) Months;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lnxbz9" w:colFirst="0" w:colLast="0"/>
      <w:bookmarkEnd w:id="13"/>
      <w:r>
        <w:rPr>
          <w:rFonts w:eastAsia="Arial"/>
          <w:color w:val="000000"/>
          <w:sz w:val="24"/>
          <w:szCs w:val="24"/>
        </w:rPr>
        <w:t>within three (3) calendar Months of the BCDR Plan (or any part) having been invoked pursuant to Paragraph 7; and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35nkun2" w:colFirst="0" w:colLast="0"/>
      <w:bookmarkEnd w:id="14"/>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1ksv4uv" w:colFirst="0" w:colLast="0"/>
      <w:bookmarkEnd w:id="15"/>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44sinio" w:colFirst="0" w:colLast="0"/>
      <w:bookmarkEnd w:id="16"/>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2jxsxqh" w:colFirst="0" w:colLast="0"/>
      <w:bookmarkEnd w:id="17"/>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5F71D7" w:rsidRDefault="004B1181">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8" w:name="_heading=h.z337ya" w:colFirst="0" w:colLast="0"/>
      <w:bookmarkEnd w:id="18"/>
      <w:r>
        <w:rPr>
          <w:rFonts w:ascii="Arial Bold" w:eastAsia="Arial Bold" w:hAnsi="Arial Bold" w:cs="Arial Bold"/>
          <w:b/>
          <w:color w:val="000000"/>
          <w:sz w:val="24"/>
          <w:szCs w:val="24"/>
        </w:rPr>
        <w:t>Testing the BCDR Plan</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3j2qqm3" w:colFirst="0" w:colLast="0"/>
      <w:bookmarkEnd w:id="19"/>
      <w:r>
        <w:rPr>
          <w:rFonts w:eastAsia="Arial"/>
          <w:color w:val="000000"/>
          <w:sz w:val="24"/>
          <w:szCs w:val="24"/>
        </w:rPr>
        <w:t xml:space="preserve">The Supplier shall test the BCDR Plan: </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5F71D7" w:rsidRDefault="004B11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5F71D7" w:rsidRDefault="004B11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4i7ojhp" w:colFirst="0" w:colLast="0"/>
      <w:bookmarkEnd w:id="21"/>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5F71D7" w:rsidRDefault="004B1181">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2" w:name="_heading=h.2xcytpi" w:colFirst="0" w:colLast="0"/>
      <w:bookmarkEnd w:id="22"/>
      <w:r>
        <w:rPr>
          <w:rFonts w:ascii="Arial Bold" w:eastAsia="Arial Bold" w:hAnsi="Arial Bold" w:cs="Arial Bold"/>
          <w:b/>
          <w:color w:val="000000"/>
          <w:sz w:val="24"/>
          <w:szCs w:val="24"/>
        </w:rPr>
        <w:lastRenderedPageBreak/>
        <w:t>Invoking the BCDR Plan</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5F71D7" w:rsidRDefault="004B1181">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5F71D7" w:rsidRDefault="004B11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5F71D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181" w:rsidRDefault="004B1181">
      <w:pPr>
        <w:spacing w:after="0"/>
      </w:pPr>
      <w:r>
        <w:separator/>
      </w:r>
    </w:p>
  </w:endnote>
  <w:endnote w:type="continuationSeparator" w:id="0">
    <w:p w:rsidR="004B1181" w:rsidRDefault="004B1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507" w:rsidRDefault="00C275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D7" w:rsidRDefault="005F71D7">
    <w:pPr>
      <w:tabs>
        <w:tab w:val="center" w:pos="4513"/>
        <w:tab w:val="right" w:pos="9026"/>
      </w:tabs>
      <w:spacing w:after="0"/>
      <w:ind w:left="0"/>
      <w:rPr>
        <w:rFonts w:ascii="Calibri" w:eastAsia="Calibri" w:hAnsi="Calibri" w:cs="Calibri"/>
        <w:color w:val="A6A6A6"/>
      </w:rPr>
    </w:pPr>
  </w:p>
  <w:p w:rsidR="005F71D7" w:rsidRDefault="00C2750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RM6290</w:t>
    </w:r>
    <w:bookmarkStart w:id="23" w:name="_GoBack"/>
    <w:bookmarkEnd w:id="23"/>
  </w:p>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C27507">
      <w:rPr>
        <w:rFonts w:eastAsia="Arial"/>
        <w:color w:val="000000"/>
        <w:sz w:val="20"/>
        <w:szCs w:val="20"/>
      </w:rPr>
      <w:fldChar w:fldCharType="separate"/>
    </w:r>
    <w:r w:rsidR="00C27507">
      <w:rPr>
        <w:rFonts w:eastAsia="Arial"/>
        <w:noProof/>
        <w:color w:val="000000"/>
        <w:sz w:val="20"/>
        <w:szCs w:val="20"/>
      </w:rPr>
      <w:t>7</w:t>
    </w:r>
    <w:r>
      <w:rPr>
        <w:rFonts w:eastAsia="Arial"/>
        <w:color w:val="000000"/>
        <w:sz w:val="20"/>
        <w:szCs w:val="20"/>
      </w:rPr>
      <w:fldChar w:fldCharType="end"/>
    </w:r>
  </w:p>
  <w:p w:rsidR="005F71D7" w:rsidRDefault="004B1181">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5F71D7" w:rsidRDefault="004B118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181" w:rsidRDefault="004B1181">
      <w:pPr>
        <w:spacing w:after="0"/>
      </w:pPr>
      <w:r>
        <w:separator/>
      </w:r>
    </w:p>
  </w:footnote>
  <w:footnote w:type="continuationSeparator" w:id="0">
    <w:p w:rsidR="004B1181" w:rsidRDefault="004B11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507" w:rsidRDefault="00C275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D7" w:rsidRDefault="004B1181">
    <w:pPr>
      <w:tabs>
        <w:tab w:val="center" w:pos="4513"/>
        <w:tab w:val="right" w:pos="9026"/>
      </w:tabs>
      <w:spacing w:after="0"/>
      <w:ind w:left="0"/>
      <w:jc w:val="left"/>
      <w:rPr>
        <w:sz w:val="20"/>
        <w:szCs w:val="20"/>
      </w:rPr>
    </w:pPr>
    <w:r>
      <w:rPr>
        <w:b/>
        <w:sz w:val="20"/>
        <w:szCs w:val="20"/>
      </w:rPr>
      <w:t>Call-Off Schedule 8 (Business Continuity and Disaster Recovery)</w:t>
    </w:r>
  </w:p>
  <w:p w:rsidR="005F71D7" w:rsidRDefault="004B1181">
    <w:pPr>
      <w:tabs>
        <w:tab w:val="center" w:pos="4513"/>
        <w:tab w:val="right" w:pos="9026"/>
      </w:tabs>
      <w:spacing w:after="0"/>
      <w:ind w:left="0"/>
      <w:jc w:val="left"/>
      <w:rPr>
        <w:sz w:val="20"/>
        <w:szCs w:val="20"/>
      </w:rPr>
    </w:pPr>
    <w:r>
      <w:rPr>
        <w:sz w:val="20"/>
        <w:szCs w:val="20"/>
      </w:rPr>
      <w:t>Call-Off Ref:</w:t>
    </w:r>
  </w:p>
  <w:p w:rsidR="005F71D7" w:rsidRDefault="004B1181">
    <w:pPr>
      <w:tabs>
        <w:tab w:val="center" w:pos="4513"/>
        <w:tab w:val="right" w:pos="9026"/>
      </w:tabs>
      <w:spacing w:after="0"/>
      <w:ind w:left="0"/>
      <w:jc w:val="left"/>
      <w:rPr>
        <w:sz w:val="20"/>
        <w:szCs w:val="20"/>
      </w:rPr>
    </w:pPr>
    <w:r>
      <w:rPr>
        <w:sz w:val="20"/>
        <w:szCs w:val="20"/>
      </w:rPr>
      <w:t>Crown Copyright 2018</w:t>
    </w:r>
  </w:p>
  <w:p w:rsidR="005F71D7" w:rsidRDefault="005F71D7">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507" w:rsidRDefault="00C27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E702BF"/>
    <w:multiLevelType w:val="multilevel"/>
    <w:tmpl w:val="F860005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9D55BF4"/>
    <w:multiLevelType w:val="multilevel"/>
    <w:tmpl w:val="DCCADC70"/>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D7"/>
    <w:rsid w:val="004B1181"/>
    <w:rsid w:val="005F71D7"/>
    <w:rsid w:val="00C275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3D277D3"/>
  <w15:docId w15:val="{E57140E8-CB50-401C-9C09-5C134A374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dFWpgTAb10OnGBuTLHqt4vlM8w==">AMUW2mWir7aeOntiXXBry99P1CbL7rTz58qixKP6FfCjdLb7iUfylgPa5JswdF+UrKZC40cFL1EljKuf+rc7rqPj7n6NPynFEUK6r2nZys/aKRFoqBvpKQCK5K/ua7XtsB+El1hBS9uEsDsP1t7YgT/VXleBqg77PW5pMMo8yJFbX8V6m64PrqQo4giKuLfsse4Ugs1pb+s+ieaPVQ34N8ueaIaxupT2+8AOU34wIl7Ctlt5HPZL5+PXCWnJXuahUzBiZudXAIK8PnfPXVIQbC/7oNNk2+rdHSQCPK6IhPmESRK3T5Ym+d8u5DxlY89E3F5jDXUWmMIph/KwRbK0Rv9gV0LcSFLCl30SMCkuv/ljIUWcVQQt/kVDIFtWJ2+jnNlC+13qAjEgtSLYY1W/iM+Vw0Sq5zQJ91BIWoB676RLEDt2WyFgwosBj8r04NTjICDn7bc7RL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2021-12-21T14:55:00Z</dcterms:created>
  <dcterms:modified xsi:type="dcterms:W3CDTF">2021-12-21T14:55:00Z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